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bookmarkStart w:colFirst="0" w:colLast="0" w:name="_30j0zll" w:id="0"/>
      <w:bookmarkEnd w:id="0"/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comparte, un año más, los tips más eficaces para preparar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prueba de acceso a la universidad,</w:t>
      </w:r>
    </w:p>
    <w:p w:rsidR="00000000" w:rsidDel="00000000" w:rsidP="00000000" w:rsidRDefault="00000000" w:rsidRPr="00000000" w14:paraId="00000002">
      <w:pPr>
        <w:spacing w:after="200" w:before="240" w:line="240" w:lineRule="auto"/>
        <w:jc w:val="center"/>
        <w:rPr>
          <w:rFonts w:ascii="Brown" w:cs="Brown" w:eastAsia="Brown" w:hAnsi="Brown"/>
          <w:b w:val="1"/>
          <w:bC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2"/>
          <w:szCs w:val="52"/>
          <w:rtl w:val="0"/>
        </w:rPr>
        <w:t xml:space="preserve">EvAU 2026: cómo preparar el examen con menos estrés y mayor concentración </w:t>
      </w:r>
      <w:r w:rsidDel="00000000" w:rsidR="00000000" w:rsidRPr="00000000">
        <w:rPr>
          <w:rFonts w:ascii="Brown" w:cs="Brown" w:eastAsia="Brown" w:hAnsi="Brown"/>
          <w:b w:val="1"/>
          <w:bCs w:val="1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00" w:before="240" w:line="240" w:lineRule="auto"/>
        <w:jc w:val="both"/>
        <w:rPr>
          <w:rFonts w:ascii="Brown" w:cs="Brown" w:eastAsia="Brown" w:hAnsi="Brow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Establecer descansos, evitar la sobrecarga y adaptar el espacio de estudio son algunas de las claves para rendir mejor antes de los exámenes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El uso de esquemas, listas visuales y materiales de papelería ayuda a organizar el temario y reducir el estrés en la recta final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00"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Utilizar distintos colores ayuda a organizar mejor la información y facilitar el estudio, ya que cada tonalidad puede asociarse a una función concreta, como destacar ideas principales, fórmulas, categorías o títulos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15365" cy="21807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972" l="0" r="0" t="15199"/>
                    <a:stretch>
                      <a:fillRect/>
                    </a:stretch>
                  </pic:blipFill>
                  <pic:spPr>
                    <a:xfrm>
                      <a:off x="0" y="0"/>
                      <a:ext cx="2915365" cy="21807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Madrid, 22 de mayo de 2026.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cuenta atrás para la EvAU 2026 ya ha comenzado y miles de estudiantes ultiman su preparación para una de las pruebas más importantes del curso académico.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este contexto,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 año más, comparte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una serie de recomendaciones prácticas para ayudar a los alumnos a estudiar de forma más eficaz, mejorar la concentración y afrontar los exámenes con menos estrés.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Las semanas previas a los exámenes, muchos estudiantes cometen el error de centrar todo el esfuerzo en acumular horas de estudio sin prestar atención a otros factores como el descanso o la planificación. Sin embargo, crear hábitos de estudio puede marcar la diferencia en el rendimiento final.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rtl w:val="0"/>
        </w:rPr>
        <w:t xml:space="preserve">Importancia de técnicas de estudio: Método Pomodoro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A pocos días de la prueba, la presión y los nervios pueden jugar en contra de la concentración. Por ello, desde 123tinta.es recomiendan evitar las jornadas prolongadas y apostar por sesiones más cortas, organizadas y realistas, que permitan mantener la atención durante más tiempo.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En este sentido, la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24"/>
          <w:szCs w:val="24"/>
          <w:rtl w:val="0"/>
        </w:rPr>
        <w:t xml:space="preserve"> técnica Pomodoro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continúa siendo una de las más recomendadas: estudiar durante 25 minutos y descansar 5 permite mantener la productividad y mejorar la retención de contenidos. Tras cuatro ciclos, se aconseja realizar una pausa más larga, de entre 20 y 30 minutos.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Asimismo, es importante priorizar los temas más complejos durante las primeras horas del día, cuando la concentración es mayor, y reservar los repasos más ligeros para el final de la jornada.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 apoyo visual: La importancia de los colores y el subrayado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cerebro procesa más rápido la información cuando esta se presenta de forma visual y estructurada. Por eso, técnicas como el uso de colores, esquemas o notas adhesivas continúan siendo una de las herramientas más utilizadas por los estudiantes durante la preparación de exámenes.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123tinta.es recomienda utilizar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subrayadores de diferentes colores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 función del contenido: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Azul: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ideal para conceptos extensos o explicaciones que requieren concentración.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Verde: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recomendado para clasificaciones, categorías y esquemas.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Naranja: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perfecto para destacar fechas, fórmulas y datos importantes.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Amarillo: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útil para señalar palabras clave o ideas principales.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Rosa: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adecuado para títulos y apartados que estructuran el contenido.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El uso de la calculadora: ¿Qué modelos son los permitidos?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de las dudas más habituales entre los alumnos es qué tipo de calculadora pueden utilizar en la EvAU, especialmente en asignaturas como Matemáticas, Física o Química. 123tinta.es aclara los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modelos permitidos en cada comunidad autónoma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 el objetivo de evitar errores de última hora el día del examen. También se recomienda estudiar con la calculadora que se va a utilizar en el examen para estar lo mayor familiarizado con ella posible.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Móvil fuera: el entorno también influye en la concentración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aconseja disponer de un lugar fijo para estudiar, bien iluminado y ordenado, donde solo estén presentes los materiales necesarios.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Reducir las distracciones digitales es otro aspecto fundamental. Mantener el móvil alejado o utilizar aplicaciones de bloqueo temporal puede ayudar a mejorar la concentración durante las horas de estudio.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dormir bien, mantener una alimentación equilibrada y respetar momentos de descanso resulta esencial para llegar a los exámenes en buenas condiciones físicas y mentales.                                                                       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Sobre 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B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2" name="image2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virginia.ayala@actitud.es" TargetMode="External"/><Relationship Id="rId10" Type="http://schemas.openxmlformats.org/officeDocument/2006/relationships/hyperlink" Target="https://www.123tinta.es/page/calculadoras-permitidas-selectividad-ccaa.html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123tinta.es/Material-de-oficina/Subrayadores-p61098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123tinta.es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123tint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